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79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Редакція від 01.10.2020 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b/>
                <w:sz w:val="28"/>
                <w:szCs w:val="28"/>
              </w:rPr>
              <w:t>Зміст змін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9 п. 3.2:</w:t>
            </w:r>
          </w:p>
          <w:p w:rsidR="00F9678B" w:rsidRPr="003A00EA" w:rsidRDefault="00F9678B" w:rsidP="00505A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укладення договорів оренди цілісних майнових комплексів та нерухомого майна спільної власності територіальних громад сіл, селищ, міст Закарпатської області;»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9 п. 3.2:</w:t>
            </w:r>
          </w:p>
          <w:p w:rsidR="00F9678B" w:rsidRPr="003A00EA" w:rsidRDefault="00F9678B" w:rsidP="00505A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05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- укладення договорів оренди цілісних майнових комплексів, нерухомого майна та іншого індивідуально визначеного майна спільної власності територіальних громад сіл, селищ, міст Закарпатської області;»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3 п. 4.19: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приймає протягом 10 робочих днів з дня прийняття рішення про приватизацію конкретного об’єкта рішення про затвердження персонального складу аукціонної комісії в складі не менше 7 осіб, до якої включаються члени Наглядової ради і посадові особи Управління, а також, за згодою, депутати та посадові особи Закарпатської обласної ради»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3 п. 4.19: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приймає протягом 10 робочих днів з дня прийняття рішення про приватизацію конкретного об’єкта рішення про затвердження персонального складу комісії з питань приватизації шляхом продажу майна на аукціоні та викупу в складі не менше 7 осіб, до якої включаються члени Наглядової ради і посадові особи Управління, а також, за згодою, депутати та посадові особи Закарпатської обласної ради»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10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утворювати аукціонні комісії шляхом затвердження їх персонального складу»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10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утворювати комісії з питань приватизації шляхом продажу майна на аукціоні та викупу шляхом затвердження їх персонального складу»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16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затверджувати шляхом видачі відповідного наказу умови продажу конкретних об’єктів приватизації, розроблені аукціонною комісією»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16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«-затверджувати шляхом видачі відповідного наказу умови продажу конкретних об’єктів приватизації, розроблені комісією з питань приватизації шляхом продажу майна на аукціоні та викупу»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18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 затверджувати шляхом видачі відповідного наказу протокол електронних торгів (аукціону)»</w:t>
            </w: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18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«- затверджувати шляхом видачі відповідного наказу протокол електронних торгів (аукціону, що проводився з метою відчуження 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майна спільної власності територіальних громад сіл, селищ, міст Закарпатської області)»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Абзац 43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«- </w:t>
            </w:r>
            <w:r w:rsidRPr="003A00E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приймати шляхом видачі відповідного наказу рішення про включення об’єктів </w:t>
            </w:r>
            <w:r w:rsidRPr="003A00EA">
              <w:rPr>
                <w:rFonts w:ascii="Times New Roman" w:hAnsi="Times New Roman" w:cs="Times New Roman"/>
                <w:bCs/>
                <w:sz w:val="28"/>
                <w:szCs w:val="28"/>
              </w:rPr>
              <w:t>нерухомого майна спільної власності територіальних громад сіл, селищ, міст області (комунальної власності області)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 в цілому або у визначеній частині до Переліку першого типу (Переліку об’єктів, щодо яких прийнято рішення про передачу в оренду на аукціоні) або до Переліку другого типу (Перелік об’єктів, щодо яких прийнято рішення про передачу в оренду без проведення аукціону)»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Абзац 43 п. 5.1:</w:t>
            </w:r>
          </w:p>
          <w:p w:rsidR="00F9678B" w:rsidRPr="003A00EA" w:rsidRDefault="00F9678B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A00EA" w:rsidRPr="003A00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A00EA" w:rsidRPr="003A00E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3A00EA"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приймати рішення про включення об’єктів </w:t>
            </w:r>
            <w:r w:rsidR="003A00EA" w:rsidRPr="003A00EA">
              <w:rPr>
                <w:rFonts w:ascii="Times New Roman" w:hAnsi="Times New Roman" w:cs="Times New Roman"/>
                <w:bCs/>
                <w:sz w:val="28"/>
                <w:szCs w:val="28"/>
              </w:rPr>
              <w:t>нерухомого майна спільної власності територіальних громад сіл, селищ, міст області (комунальної власності області)</w:t>
            </w:r>
            <w:r w:rsidR="003A00EA"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 в цілому або у визначеній частині до Переліку першого типу (Переліку об’єктів, щодо яких прийнято рішення про передачу в оренду на аукціоні) або до Переліку другого типу (Перелік об’єктів, щодо яких прийнято рішення про передачу в оренду без проведення аукціону)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9678B" w:rsidRPr="003A00EA" w:rsidTr="003A00EA">
        <w:tc>
          <w:tcPr>
            <w:tcW w:w="4814" w:type="dxa"/>
          </w:tcPr>
          <w:p w:rsidR="00F9678B" w:rsidRPr="003A00EA" w:rsidRDefault="003A00EA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15" w:type="dxa"/>
          </w:tcPr>
          <w:p w:rsidR="00F9678B" w:rsidRPr="003A00EA" w:rsidRDefault="003A00EA" w:rsidP="003A0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Пункт 5.1 доповнити абзацом такого змісту:</w:t>
            </w:r>
          </w:p>
          <w:p w:rsidR="003A00EA" w:rsidRPr="003A00EA" w:rsidRDefault="003A00EA" w:rsidP="00505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«-</w:t>
            </w:r>
            <w:r w:rsidRPr="003A00E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приймати рішення про включення об’єктів </w:t>
            </w:r>
            <w:bookmarkStart w:id="0" w:name="_GoBack"/>
            <w:bookmarkEnd w:id="0"/>
            <w:r w:rsidRPr="003A00EA">
              <w:rPr>
                <w:rFonts w:ascii="Times New Roman" w:hAnsi="Times New Roman" w:cs="Times New Roman"/>
                <w:sz w:val="28"/>
                <w:szCs w:val="28"/>
              </w:rPr>
              <w:t>індивідуально визначеного</w:t>
            </w:r>
            <w:r w:rsidRPr="003A00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майна спільної власності територіальних громад сіл, селищ, міст області (комунальної власності області)</w:t>
            </w:r>
            <w:r w:rsidRPr="003A00EA">
              <w:rPr>
                <w:rFonts w:ascii="Times New Roman" w:hAnsi="Times New Roman" w:cs="Times New Roman"/>
                <w:sz w:val="28"/>
                <w:szCs w:val="28"/>
              </w:rPr>
              <w:t xml:space="preserve"> в цілому або у визначеній частині до Переліку першого типу (Переліку об’єктів, щодо яких прийнято рішення про передачу в оренду на аукціоні) або до Переліку другого типу (Перелік об’єктів, щодо яких прийнято рішення про передачу в оренду без проведення аукціону);»</w:t>
            </w:r>
          </w:p>
        </w:tc>
      </w:tr>
    </w:tbl>
    <w:p w:rsidR="007310FC" w:rsidRPr="003A00EA" w:rsidRDefault="007310FC" w:rsidP="00F9678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310FC" w:rsidRPr="003A00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0EA" w:rsidRDefault="003A00EA" w:rsidP="003A00EA">
      <w:pPr>
        <w:spacing w:after="0" w:line="240" w:lineRule="auto"/>
      </w:pPr>
      <w:r>
        <w:separator/>
      </w:r>
    </w:p>
  </w:endnote>
  <w:endnote w:type="continuationSeparator" w:id="0">
    <w:p w:rsidR="003A00EA" w:rsidRDefault="003A00EA" w:rsidP="003A0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Default="003A00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Default="003A00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Default="003A00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0EA" w:rsidRDefault="003A00EA" w:rsidP="003A00EA">
      <w:pPr>
        <w:spacing w:after="0" w:line="240" w:lineRule="auto"/>
      </w:pPr>
      <w:r>
        <w:separator/>
      </w:r>
    </w:p>
  </w:footnote>
  <w:footnote w:type="continuationSeparator" w:id="0">
    <w:p w:rsidR="003A00EA" w:rsidRDefault="003A00EA" w:rsidP="003A0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Default="003A00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Pr="003A00EA" w:rsidRDefault="003A00EA" w:rsidP="003A00EA">
    <w:pPr>
      <w:jc w:val="center"/>
      <w:rPr>
        <w:rFonts w:ascii="Times New Roman" w:hAnsi="Times New Roman" w:cs="Times New Roman"/>
        <w:b/>
        <w:sz w:val="28"/>
        <w:szCs w:val="28"/>
      </w:rPr>
    </w:pPr>
    <w:r w:rsidRPr="003A00EA">
      <w:rPr>
        <w:rFonts w:ascii="Times New Roman" w:hAnsi="Times New Roman" w:cs="Times New Roman"/>
        <w:b/>
        <w:sz w:val="28"/>
        <w:szCs w:val="28"/>
      </w:rPr>
      <w:t>Порівняльна таблиця пропонованих змін до Положення про «Комунальну установу «Управління спільною власністю територіальних громад» Закарпатської обласної ради»</w:t>
    </w:r>
  </w:p>
  <w:p w:rsidR="003A00EA" w:rsidRPr="003A00EA" w:rsidRDefault="003A00EA">
    <w:pPr>
      <w:pStyle w:val="a4"/>
      <w:rPr>
        <w:rFonts w:ascii="Times New Roman" w:hAnsi="Times New Roman" w:cs="Times New Roman"/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0EA" w:rsidRDefault="003A00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773"/>
    <w:rsid w:val="003A00EA"/>
    <w:rsid w:val="00505A24"/>
    <w:rsid w:val="007310FC"/>
    <w:rsid w:val="009D4773"/>
    <w:rsid w:val="00F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70CA"/>
  <w15:chartTrackingRefBased/>
  <w15:docId w15:val="{B0E8CDEF-C968-4477-A564-2669845A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6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00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A00EA"/>
  </w:style>
  <w:style w:type="paragraph" w:styleId="a6">
    <w:name w:val="footer"/>
    <w:basedOn w:val="a"/>
    <w:link w:val="a7"/>
    <w:uiPriority w:val="99"/>
    <w:unhideWhenUsed/>
    <w:rsid w:val="003A00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A00EA"/>
  </w:style>
  <w:style w:type="paragraph" w:styleId="a8">
    <w:name w:val="Balloon Text"/>
    <w:basedOn w:val="a"/>
    <w:link w:val="a9"/>
    <w:uiPriority w:val="99"/>
    <w:semiHidden/>
    <w:unhideWhenUsed/>
    <w:rsid w:val="003A0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A0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BorshoshL</cp:lastModifiedBy>
  <cp:revision>3</cp:revision>
  <cp:lastPrinted>2021-02-04T08:15:00Z</cp:lastPrinted>
  <dcterms:created xsi:type="dcterms:W3CDTF">2020-12-03T10:20:00Z</dcterms:created>
  <dcterms:modified xsi:type="dcterms:W3CDTF">2021-02-04T08:15:00Z</dcterms:modified>
</cp:coreProperties>
</file>